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headerReference w:type="default" r:id="rId8"/>
          <w:footerReference w:type="default" r:id="rId9"/>
          <w:type w:val="continuous"/>
          <w:pgSz w:w="11910" w:h="16840"/>
          <w:pgMar w:top="2080" w:right="1160" w:bottom="1220" w:left="1280" w:header="857" w:footer="1021" w:gutter="0"/>
          <w:pgNumType w:start="1"/>
          <w:cols w:space="720"/>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2C0E5DBF" w14:textId="65B4750B" w:rsidR="00C66926" w:rsidRDefault="00C76C75" w:rsidP="00C66926">
      <w:pPr>
        <w:pStyle w:val="Textkrper"/>
        <w:spacing w:before="94" w:line="564" w:lineRule="auto"/>
        <w:ind w:left="138" w:right="-28"/>
        <w:rPr>
          <w:w w:val="95"/>
        </w:rPr>
      </w:pPr>
      <w:r>
        <w:rPr>
          <w:w w:val="95"/>
        </w:rPr>
        <w:t xml:space="preserve">Name des Unternehmens: </w:t>
      </w:r>
      <w:r w:rsidR="00C66926">
        <w:rPr>
          <w:w w:val="95"/>
        </w:rPr>
        <w:tab/>
      </w:r>
      <w:sdt>
        <w:sdtPr>
          <w:rPr>
            <w:rFonts w:eastAsia="Times New Roman"/>
          </w:rPr>
          <w:alias w:val="Angabe"/>
          <w:tag w:val="Angabe"/>
          <w:id w:val="-1176411614"/>
          <w:showingPlcHdr/>
        </w:sdtPr>
        <w:sdtEndPr/>
        <w:sdtContent>
          <w:r w:rsidR="00111C47" w:rsidRPr="002D1EBE">
            <w:rPr>
              <w:rFonts w:ascii="Calibri" w:eastAsia="Calibri" w:hAnsi="Calibri" w:cs="Times New Roman"/>
              <w:color w:val="B8CCE4"/>
              <w:shd w:val="clear" w:color="auto" w:fill="B8CCE4"/>
            </w:rPr>
            <w:t>Ort eintragen.</w:t>
          </w:r>
        </w:sdtContent>
      </w:sdt>
    </w:p>
    <w:p w14:paraId="3E2F236E" w14:textId="6AEA1D48" w:rsidR="000A4C35" w:rsidRDefault="00C76C75" w:rsidP="00C66926">
      <w:pPr>
        <w:pStyle w:val="Textkrper"/>
        <w:spacing w:before="94" w:line="276" w:lineRule="auto"/>
        <w:ind w:left="138" w:right="-28"/>
      </w:pPr>
      <w:r>
        <w:t>Anschrift:</w:t>
      </w:r>
      <w:r w:rsidR="00C66926">
        <w:tab/>
      </w:r>
      <w:r w:rsidR="00C66926">
        <w:tab/>
      </w:r>
      <w:r w:rsidR="00C66926">
        <w:tab/>
      </w:r>
      <w:sdt>
        <w:sdtPr>
          <w:rPr>
            <w:rFonts w:eastAsia="Times New Roman"/>
          </w:rPr>
          <w:alias w:val="Angabe"/>
          <w:tag w:val="Angabe"/>
          <w:id w:val="1524361337"/>
          <w:showingPlcHdr/>
        </w:sdtPr>
        <w:sdtEndPr/>
        <w:sdtContent>
          <w:r w:rsidR="00111C47" w:rsidRPr="002D1EBE">
            <w:rPr>
              <w:rFonts w:ascii="Calibri" w:eastAsia="Calibri" w:hAnsi="Calibri" w:cs="Times New Roman"/>
              <w:color w:val="B8CCE4"/>
              <w:shd w:val="clear" w:color="auto" w:fill="B8CCE4"/>
            </w:rPr>
            <w:t>Ort eintragen.</w:t>
          </w:r>
        </w:sdtContent>
      </w:sdt>
    </w:p>
    <w:p w14:paraId="316F11E5" w14:textId="4F51A4F8" w:rsidR="00C66926" w:rsidRDefault="00C66926" w:rsidP="00C66926">
      <w:pPr>
        <w:pStyle w:val="Textkrper"/>
        <w:spacing w:before="94" w:line="276" w:lineRule="auto"/>
        <w:ind w:left="138" w:right="-28"/>
      </w:pPr>
      <w:r>
        <w:tab/>
      </w:r>
      <w:r>
        <w:tab/>
      </w:r>
      <w:r>
        <w:tab/>
      </w:r>
      <w:r>
        <w:tab/>
      </w:r>
      <w:sdt>
        <w:sdtPr>
          <w:rPr>
            <w:rFonts w:eastAsia="Times New Roman"/>
          </w:rPr>
          <w:alias w:val="Angabe"/>
          <w:tag w:val="Angabe"/>
          <w:id w:val="726954675"/>
          <w:showingPlcHdr/>
        </w:sdtPr>
        <w:sdtEndPr/>
        <w:sdtContent>
          <w:r w:rsidR="00111C47" w:rsidRPr="002D1EBE">
            <w:rPr>
              <w:rFonts w:ascii="Calibri" w:eastAsia="Calibri" w:hAnsi="Calibri" w:cs="Times New Roman"/>
              <w:color w:val="B8CCE4"/>
              <w:shd w:val="clear" w:color="auto" w:fill="B8CCE4"/>
            </w:rPr>
            <w:t>Ort eintragen.</w:t>
          </w:r>
        </w:sdtContent>
      </w:sdt>
    </w:p>
    <w:p w14:paraId="7B201365" w14:textId="5CFB904C" w:rsidR="00C66926" w:rsidRDefault="00C66926" w:rsidP="006427EF">
      <w:pPr>
        <w:pStyle w:val="Textkrper"/>
        <w:spacing w:before="94" w:line="276" w:lineRule="auto"/>
        <w:ind w:left="138" w:right="-28"/>
      </w:pPr>
      <w:r>
        <w:tab/>
      </w:r>
      <w:r>
        <w:tab/>
      </w:r>
      <w:r>
        <w:tab/>
      </w:r>
      <w:r>
        <w:tab/>
      </w:r>
      <w:sdt>
        <w:sdtPr>
          <w:rPr>
            <w:rFonts w:eastAsia="Times New Roman"/>
          </w:rPr>
          <w:alias w:val="Angabe"/>
          <w:tag w:val="Angabe"/>
          <w:id w:val="-860201317"/>
          <w:showingPlcHdr/>
        </w:sdtPr>
        <w:sdtEndPr/>
        <w:sdtContent>
          <w:r w:rsidR="00111C47" w:rsidRPr="002D1EBE">
            <w:rPr>
              <w:rFonts w:ascii="Calibri" w:eastAsia="Calibri" w:hAnsi="Calibri" w:cs="Times New Roman"/>
              <w:color w:val="B8CCE4"/>
              <w:shd w:val="clear" w:color="auto" w:fill="B8CCE4"/>
            </w:rPr>
            <w:t>Ort eintragen.</w:t>
          </w:r>
        </w:sdtContent>
      </w:sdt>
    </w:p>
    <w:p w14:paraId="04A41C69" w14:textId="77777777" w:rsidR="00F31EEF" w:rsidRPr="006427EF" w:rsidRDefault="00F31EEF" w:rsidP="006427EF">
      <w:pPr>
        <w:pStyle w:val="Textkrper"/>
        <w:spacing w:before="94" w:line="276" w:lineRule="auto"/>
        <w:ind w:left="138" w:right="-28"/>
      </w:pPr>
    </w:p>
    <w:p w14:paraId="3B57317A" w14:textId="77777777" w:rsidR="009B6C9D" w:rsidRDefault="009B6C9D">
      <w:pPr>
        <w:pStyle w:val="berschrift1"/>
        <w:ind w:left="220" w:right="342"/>
        <w:jc w:val="center"/>
      </w:pPr>
    </w:p>
    <w:p w14:paraId="1894F165" w14:textId="56815999" w:rsidR="000A4C35" w:rsidRDefault="00C76C75">
      <w:pPr>
        <w:pStyle w:val="berschrift1"/>
        <w:ind w:left="220" w:right="342"/>
        <w:jc w:val="center"/>
      </w:pPr>
      <w:r>
        <w:t>Eigenerklärung zur Eignung</w:t>
      </w:r>
    </w:p>
    <w:p w14:paraId="24FD7228" w14:textId="77777777" w:rsidR="000A4C35" w:rsidRDefault="000A4C35">
      <w:pPr>
        <w:pStyle w:val="Textkrper"/>
        <w:spacing w:before="10"/>
        <w:rPr>
          <w:b/>
        </w:rPr>
      </w:pPr>
    </w:p>
    <w:p w14:paraId="2A11206E" w14:textId="77777777" w:rsidR="000A4C35" w:rsidRDefault="00C76C75">
      <w:pPr>
        <w:pStyle w:val="Listenabsatz"/>
        <w:numPr>
          <w:ilvl w:val="0"/>
          <w:numId w:val="18"/>
        </w:numPr>
        <w:tabs>
          <w:tab w:val="left" w:pos="563"/>
          <w:tab w:val="left" w:pos="564"/>
        </w:tabs>
        <w:spacing w:before="0"/>
        <w:ind w:right="0" w:hanging="426"/>
        <w:rPr>
          <w:b/>
        </w:rPr>
      </w:pPr>
      <w:r>
        <w:rPr>
          <w:b/>
        </w:rPr>
        <w:t>Eigenerklärung</w:t>
      </w:r>
      <w:r>
        <w:rPr>
          <w:b/>
          <w:spacing w:val="-8"/>
        </w:rPr>
        <w:t xml:space="preserve"> </w:t>
      </w:r>
      <w:r>
        <w:rPr>
          <w:b/>
        </w:rPr>
        <w:t>Ausschlussgründe</w:t>
      </w:r>
      <w:r>
        <w:rPr>
          <w:b/>
          <w:spacing w:val="-13"/>
        </w:rPr>
        <w:t xml:space="preserve"> </w:t>
      </w:r>
      <w:r>
        <w:rPr>
          <w:b/>
        </w:rPr>
        <w:t>gemäß</w:t>
      </w:r>
      <w:r>
        <w:rPr>
          <w:b/>
          <w:spacing w:val="-13"/>
        </w:rPr>
        <w:t xml:space="preserve"> </w:t>
      </w:r>
      <w:r>
        <w:rPr>
          <w:b/>
        </w:rPr>
        <w:t>§</w:t>
      </w:r>
      <w:r>
        <w:rPr>
          <w:b/>
          <w:spacing w:val="-13"/>
        </w:rPr>
        <w:t xml:space="preserve"> </w:t>
      </w:r>
      <w:r>
        <w:rPr>
          <w:b/>
        </w:rPr>
        <w:t>31</w:t>
      </w:r>
      <w:r>
        <w:rPr>
          <w:b/>
          <w:spacing w:val="-10"/>
        </w:rPr>
        <w:t xml:space="preserve"> </w:t>
      </w:r>
      <w:r>
        <w:rPr>
          <w:b/>
          <w:spacing w:val="-3"/>
        </w:rPr>
        <w:t>Abs.</w:t>
      </w:r>
      <w:r>
        <w:rPr>
          <w:b/>
          <w:spacing w:val="-9"/>
        </w:rPr>
        <w:t xml:space="preserve"> </w:t>
      </w:r>
      <w:r>
        <w:rPr>
          <w:b/>
        </w:rPr>
        <w:t>1</w:t>
      </w:r>
      <w:r>
        <w:rPr>
          <w:b/>
          <w:spacing w:val="-9"/>
        </w:rPr>
        <w:t xml:space="preserve"> </w:t>
      </w:r>
      <w:proofErr w:type="spellStart"/>
      <w:r>
        <w:rPr>
          <w:b/>
        </w:rPr>
        <w:t>UVgO</w:t>
      </w:r>
      <w:proofErr w:type="spellEnd"/>
      <w:r>
        <w:rPr>
          <w:b/>
          <w:spacing w:val="-11"/>
        </w:rPr>
        <w:t xml:space="preserve"> </w:t>
      </w:r>
      <w:proofErr w:type="spellStart"/>
      <w:r>
        <w:rPr>
          <w:b/>
        </w:rPr>
        <w:t>i.V.m</w:t>
      </w:r>
      <w:proofErr w:type="spellEnd"/>
      <w:r>
        <w:rPr>
          <w:b/>
        </w:rPr>
        <w:t>.</w:t>
      </w:r>
      <w:r>
        <w:rPr>
          <w:b/>
          <w:spacing w:val="-11"/>
        </w:rPr>
        <w:t xml:space="preserve"> </w:t>
      </w:r>
      <w:r>
        <w:rPr>
          <w:b/>
        </w:rPr>
        <w:t>§§</w:t>
      </w:r>
      <w:r>
        <w:rPr>
          <w:b/>
          <w:spacing w:val="-15"/>
        </w:rPr>
        <w:t xml:space="preserve"> </w:t>
      </w:r>
      <w:r>
        <w:rPr>
          <w:b/>
        </w:rPr>
        <w:t>123,</w:t>
      </w:r>
      <w:r>
        <w:rPr>
          <w:b/>
          <w:spacing w:val="-9"/>
        </w:rPr>
        <w:t xml:space="preserve"> </w:t>
      </w:r>
      <w:r>
        <w:rPr>
          <w:b/>
        </w:rPr>
        <w:t>124</w:t>
      </w:r>
      <w:r>
        <w:rPr>
          <w:b/>
          <w:spacing w:val="-14"/>
        </w:rPr>
        <w:t xml:space="preserve"> </w:t>
      </w:r>
      <w:r>
        <w:rPr>
          <w:b/>
        </w:rP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E50825"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w:t>
      </w:r>
      <w:proofErr w:type="spellStart"/>
      <w:r>
        <w:t>i.V.m</w:t>
      </w:r>
      <w:proofErr w:type="spellEnd"/>
      <w:r>
        <w:t xml:space="preserve">. § 19 Abs. 1 </w:t>
      </w:r>
      <w:proofErr w:type="spellStart"/>
      <w:r>
        <w:t>i.V.m</w:t>
      </w:r>
      <w:proofErr w:type="spellEnd"/>
      <w:r>
        <w:t xml:space="preserve">.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proofErr w:type="spellStart"/>
      <w:r>
        <w:t>i.V.m</w:t>
      </w:r>
      <w:proofErr w:type="spellEnd"/>
      <w:r>
        <w:t>.</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proofErr w:type="spellStart"/>
      <w:r>
        <w:t>i.V.m</w:t>
      </w:r>
      <w:proofErr w:type="spellEnd"/>
      <w:r>
        <w:t>.</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w:t>
      </w:r>
      <w:proofErr w:type="spellStart"/>
      <w:r>
        <w:t>i.V.m</w:t>
      </w:r>
      <w:proofErr w:type="spellEnd"/>
      <w:r>
        <w:t xml:space="preserve">.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w:t>
      </w:r>
      <w:proofErr w:type="spellStart"/>
      <w:r>
        <w:t>i.V.m</w:t>
      </w:r>
      <w:proofErr w:type="spellEnd"/>
      <w:r>
        <w:t xml:space="preserve">. § 21 Abs. 1 S. 1, 2 Schwarzarbeitsbekämpfungsgesetz (s. </w:t>
      </w:r>
      <w:r>
        <w:rPr>
          <w:b/>
          <w:spacing w:val="-3"/>
        </w:rPr>
        <w:t>Anhang</w:t>
      </w:r>
      <w:r>
        <w:rPr>
          <w:b/>
          <w:spacing w:val="3"/>
        </w:rPr>
        <w:t xml:space="preserve"> </w:t>
      </w:r>
      <w:r>
        <w:rPr>
          <w:b/>
        </w:rPr>
        <w:t>6</w:t>
      </w:r>
      <w:r>
        <w:t>)</w:t>
      </w:r>
    </w:p>
    <w:p w14:paraId="07A63352" w14:textId="597F24B0" w:rsidR="00F31EEF"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22 Abs. 2 Lieferkettensorgfaltspflichtengesetz (s. </w:t>
      </w:r>
      <w:r w:rsidRPr="00F31EEF">
        <w:rPr>
          <w:rFonts w:cs="Arial"/>
          <w:b/>
          <w:bCs/>
          <w:szCs w:val="22"/>
        </w:rPr>
        <w:t>Anhang 7</w:t>
      </w:r>
      <w:r w:rsidRPr="00F31EEF">
        <w:rPr>
          <w:rFonts w:cs="Arial"/>
          <w:szCs w:val="22"/>
        </w:rPr>
        <w:t>)</w:t>
      </w:r>
    </w:p>
    <w:p w14:paraId="0A504C19" w14:textId="4BEA7878" w:rsidR="006427EF" w:rsidRDefault="00E50825"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301EDB3A" w14:textId="77777777" w:rsidR="00111C47" w:rsidRDefault="00111C47">
      <w:pPr>
        <w:pStyle w:val="Textkrper"/>
        <w:spacing w:before="4"/>
        <w:rPr>
          <w:sz w:val="16"/>
        </w:rPr>
      </w:pPr>
    </w:p>
    <w:p w14:paraId="18F4E1FE" w14:textId="77777777" w:rsidR="00111C47" w:rsidRDefault="00111C47">
      <w:pPr>
        <w:pStyle w:val="Textkrper"/>
        <w:spacing w:before="4"/>
        <w:rPr>
          <w:sz w:val="16"/>
        </w:rPr>
      </w:pPr>
    </w:p>
    <w:p w14:paraId="4AC3BB42" w14:textId="77777777" w:rsidR="00111C47" w:rsidRDefault="00111C47">
      <w:pPr>
        <w:pStyle w:val="Textkrper"/>
        <w:spacing w:before="4"/>
        <w:rPr>
          <w:sz w:val="16"/>
        </w:rPr>
      </w:pPr>
    </w:p>
    <w:p w14:paraId="0B18BCA3" w14:textId="77777777" w:rsidR="00111C47" w:rsidRDefault="00111C47">
      <w:pPr>
        <w:pStyle w:val="Textkrper"/>
        <w:spacing w:before="4"/>
        <w:rPr>
          <w:sz w:val="16"/>
        </w:rPr>
      </w:pPr>
    </w:p>
    <w:p w14:paraId="36E39C40" w14:textId="77777777" w:rsidR="00111C47" w:rsidRDefault="00111C47">
      <w:pPr>
        <w:pStyle w:val="Textkrper"/>
        <w:spacing w:before="4"/>
        <w:rPr>
          <w:sz w:val="16"/>
        </w:rPr>
      </w:pPr>
    </w:p>
    <w:p w14:paraId="4D159614" w14:textId="77777777" w:rsidR="00111C47" w:rsidRDefault="00111C47">
      <w:pPr>
        <w:pStyle w:val="Textkrper"/>
        <w:spacing w:before="4"/>
        <w:rPr>
          <w:sz w:val="16"/>
        </w:rPr>
      </w:pPr>
    </w:p>
    <w:p w14:paraId="2CA4D6DB" w14:textId="77777777" w:rsidR="00111C47" w:rsidRDefault="00111C47">
      <w:pPr>
        <w:pStyle w:val="Textkrper"/>
        <w:spacing w:before="4"/>
        <w:rPr>
          <w:sz w:val="16"/>
        </w:rPr>
      </w:pPr>
    </w:p>
    <w:p w14:paraId="382ECC93" w14:textId="77777777" w:rsidR="006427EF" w:rsidRDefault="006427EF" w:rsidP="006427EF">
      <w:pPr>
        <w:pStyle w:val="berschrift1"/>
        <w:tabs>
          <w:tab w:val="left" w:pos="565"/>
          <w:tab w:val="left" w:pos="566"/>
        </w:tabs>
        <w:spacing w:before="93" w:line="312" w:lineRule="auto"/>
        <w:ind w:left="565" w:right="251"/>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E50825"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13CE503A" w14:textId="72183C1D" w:rsidR="000A4C35" w:rsidRDefault="00E50825"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w:t>
      </w:r>
      <w:proofErr w:type="gramStart"/>
      <w:r w:rsidR="008E5163">
        <w:t xml:space="preserve">/ </w:t>
      </w:r>
      <w:r w:rsidR="00C76C75" w:rsidRPr="008E5163">
        <w:rPr>
          <w:spacing w:val="-42"/>
        </w:rPr>
        <w:t xml:space="preserve"> </w:t>
      </w:r>
      <w:r w:rsidR="00C76C75">
        <w:t>Wi</w:t>
      </w:r>
      <w:r w:rsidR="008E5163">
        <w:t>r</w:t>
      </w:r>
      <w:proofErr w:type="gramEnd"/>
      <w:r w:rsidR="008E5163">
        <w:t xml:space="preserve"> h</w:t>
      </w:r>
      <w:r w:rsidR="00C76C75">
        <w:t>aben</w:t>
      </w:r>
      <w:r w:rsidR="00C76C75" w:rsidRPr="008E5163">
        <w:rPr>
          <w:spacing w:val="-43"/>
        </w:rPr>
        <w:t xml:space="preserve"> </w:t>
      </w:r>
      <w:proofErr w:type="gramStart"/>
      <w:r w:rsidR="00C76C75">
        <w:t>Selbstreinigungsmaßnahmen</w:t>
      </w:r>
      <w:r w:rsidR="00A30A0B">
        <w:t xml:space="preserve"> </w:t>
      </w:r>
      <w:r w:rsidR="00C76C75" w:rsidRPr="008E5163">
        <w:rPr>
          <w:spacing w:val="-43"/>
        </w:rPr>
        <w:t xml:space="preserve"> </w:t>
      </w:r>
      <w:r w:rsidR="00C76C75">
        <w:t>im</w:t>
      </w:r>
      <w:proofErr w:type="gramEnd"/>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proofErr w:type="gramStart"/>
      <w:r w:rsidR="00C76C75">
        <w:t>123</w:t>
      </w:r>
      <w:r w:rsidR="00C76C75" w:rsidRPr="008E5163">
        <w:rPr>
          <w:spacing w:val="-42"/>
        </w:rPr>
        <w:t xml:space="preserve"> </w:t>
      </w:r>
      <w:r w:rsidR="00F31EEF">
        <w:rPr>
          <w:spacing w:val="-42"/>
        </w:rPr>
        <w:t xml:space="preserve"> </w:t>
      </w:r>
      <w:r w:rsidR="00C76C75">
        <w:t>Abs.</w:t>
      </w:r>
      <w:proofErr w:type="gramEnd"/>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6CE87285" w14:textId="77777777" w:rsidR="000A4C35" w:rsidRDefault="000A4C35">
      <w:pPr>
        <w:pStyle w:val="Textkrper"/>
        <w:rPr>
          <w:sz w:val="20"/>
        </w:rPr>
      </w:pPr>
    </w:p>
    <w:p w14:paraId="09DE1226" w14:textId="77777777" w:rsidR="00111C47" w:rsidRDefault="00111C47">
      <w:pPr>
        <w:pStyle w:val="Textkrper"/>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11C47" w:rsidRPr="002D1EBE" w14:paraId="36EE2271" w14:textId="77777777" w:rsidTr="00091E6A">
        <w:trPr>
          <w:trHeight w:val="798"/>
        </w:trPr>
        <w:tc>
          <w:tcPr>
            <w:tcW w:w="2127" w:type="dxa"/>
            <w:vAlign w:val="center"/>
          </w:tcPr>
          <w:p w14:paraId="6C0F8489" w14:textId="77777777" w:rsidR="00111C47" w:rsidRPr="002D1EBE" w:rsidRDefault="00111C47"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2A5C76BA"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38439A42" w14:textId="77777777" w:rsidR="00111C47" w:rsidRPr="002D1EBE" w:rsidRDefault="00111C47"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1481A3E8"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4C79AB29" w14:textId="77777777" w:rsidR="00111C47" w:rsidRPr="002D1EBE" w:rsidRDefault="00111C47" w:rsidP="00091E6A">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72A8205A" w14:textId="77777777" w:rsidR="00111C47" w:rsidRPr="002D1EBE" w:rsidRDefault="00E50825" w:rsidP="00091E6A">
            <w:pPr>
              <w:spacing w:after="200"/>
              <w:rPr>
                <w:rFonts w:eastAsia="Times New Roman"/>
              </w:rPr>
            </w:pPr>
            <w:sdt>
              <w:sdtPr>
                <w:rPr>
                  <w:rFonts w:eastAsia="Calibri"/>
                  <w:noProof/>
                  <w:color w:val="000000"/>
                </w:rPr>
                <w:alias w:val="Name"/>
                <w:tag w:val="Name"/>
                <w:id w:val="555282727"/>
                <w:showingPlcHdr/>
              </w:sdtPr>
              <w:sdtEndPr/>
              <w:sdtContent>
                <w:r w:rsidR="00111C47" w:rsidRPr="002D1EBE">
                  <w:rPr>
                    <w:rFonts w:ascii="Calibri" w:eastAsia="Calibri" w:hAnsi="Calibri" w:cs="Times New Roman"/>
                    <w:color w:val="B8CCE4"/>
                    <w:shd w:val="clear" w:color="auto" w:fill="B8CCE4"/>
                  </w:rPr>
                  <w:t>Klicken Sie hier, um Text einzugeben.</w:t>
                </w:r>
              </w:sdtContent>
            </w:sdt>
          </w:p>
        </w:tc>
      </w:tr>
    </w:tbl>
    <w:p w14:paraId="68AC2BBB" w14:textId="77777777" w:rsidR="00111C47" w:rsidRDefault="00111C47" w:rsidP="00111C47">
      <w:pPr>
        <w:spacing w:line="312" w:lineRule="auto"/>
        <w:jc w:val="both"/>
        <w:rPr>
          <w:rFonts w:eastAsia="Times New Roman"/>
          <w:b/>
        </w:rPr>
      </w:pPr>
    </w:p>
    <w:p w14:paraId="3016873E" w14:textId="77777777" w:rsidR="00111C47" w:rsidRPr="003934D7" w:rsidRDefault="00111C47" w:rsidP="00111C47">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66C36D27" w14:textId="6B4F14FC" w:rsidR="000A4C35" w:rsidRDefault="00111C47" w:rsidP="00111C47">
      <w:pPr>
        <w:spacing w:before="101" w:line="336" w:lineRule="auto"/>
        <w:rPr>
          <w:sz w:val="18"/>
        </w:rPr>
      </w:pPr>
      <w:r>
        <w:rPr>
          <w:sz w:val="18"/>
          <w:szCs w:val="18"/>
        </w:rPr>
        <w:t xml:space="preserve">Hinweis: Gemäß § 38 </w:t>
      </w:r>
      <w:proofErr w:type="spellStart"/>
      <w:r>
        <w:rPr>
          <w:sz w:val="18"/>
          <w:szCs w:val="18"/>
        </w:rPr>
        <w:t>UVgO</w:t>
      </w:r>
      <w:proofErr w:type="spellEnd"/>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p w14:paraId="36519251" w14:textId="77777777" w:rsidR="00111C47" w:rsidRDefault="00111C47">
      <w:pPr>
        <w:spacing w:before="101" w:line="336" w:lineRule="auto"/>
        <w:ind w:left="138"/>
        <w:rPr>
          <w:sz w:val="18"/>
        </w:rPr>
      </w:pPr>
    </w:p>
    <w:p w14:paraId="723F533F" w14:textId="77777777" w:rsidR="000A4C35" w:rsidRDefault="000A4C35">
      <w:pPr>
        <w:spacing w:line="336" w:lineRule="auto"/>
        <w:rPr>
          <w:sz w:val="18"/>
        </w:rPr>
        <w:sectPr w:rsidR="000A4C35">
          <w:headerReference w:type="default" r:id="rId10"/>
          <w:footerReference w:type="default" r:id="rId11"/>
          <w:pgSz w:w="11910" w:h="16840"/>
          <w:pgMar w:top="2080" w:right="1160" w:bottom="1040" w:left="1280" w:header="857" w:footer="844" w:gutter="0"/>
          <w:cols w:space="720"/>
        </w:sectPr>
      </w:pPr>
    </w:p>
    <w:p w14:paraId="02698F2D" w14:textId="77777777" w:rsidR="000A4C35" w:rsidRDefault="000A4C35">
      <w:pPr>
        <w:pStyle w:val="Textkrper"/>
        <w:rPr>
          <w:sz w:val="20"/>
        </w:rPr>
      </w:pPr>
    </w:p>
    <w:p w14:paraId="2713C9F4" w14:textId="77777777" w:rsidR="00F31EEF" w:rsidRPr="00C96B4D" w:rsidRDefault="00F31EEF" w:rsidP="00F31EEF">
      <w:pPr>
        <w:spacing w:line="312" w:lineRule="auto"/>
        <w:rPr>
          <w:b/>
        </w:rPr>
      </w:pPr>
      <w:r w:rsidRPr="00C96B4D">
        <w:rPr>
          <w:b/>
        </w:rPr>
        <w:t>Anhang 1</w:t>
      </w:r>
    </w:p>
    <w:p w14:paraId="3D374C6A"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123 GWB Zwingende Ausschlussgründe</w:t>
      </w:r>
    </w:p>
    <w:p w14:paraId="0D7B4FE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EB44E9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 129 des Strafgesetzbuchs (Bildung krimineller Vereinigungen), § 129a des Strafgesetzbuchs (Bildung terroristischer Vereinigungen) oder § 129b des Strafgesetzbuchs (Kriminelle und terroristische Vereinigungen im Ausland),</w:t>
      </w:r>
    </w:p>
    <w:p w14:paraId="7638E21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2.</w:t>
      </w:r>
      <w:r w:rsidRPr="00111C47">
        <w:rPr>
          <w:rFonts w:eastAsia="Times New Roman"/>
          <w:sz w:val="20"/>
          <w:szCs w:val="2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47166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3.</w:t>
      </w:r>
      <w:r w:rsidRPr="00111C47">
        <w:rPr>
          <w:rFonts w:eastAsia="Times New Roman"/>
          <w:sz w:val="20"/>
          <w:szCs w:val="20"/>
          <w:lang w:eastAsia="de-DE"/>
        </w:rPr>
        <w:tab/>
        <w:t>§ 261 des Strafgesetzbuchs (Geldwäsche; Verschleierung unrechtmäßig erlangter Vermögenswerte),</w:t>
      </w:r>
    </w:p>
    <w:p w14:paraId="65342DB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4.</w:t>
      </w:r>
      <w:r w:rsidRPr="00111C47">
        <w:rPr>
          <w:rFonts w:eastAsia="Times New Roman"/>
          <w:sz w:val="20"/>
          <w:szCs w:val="20"/>
          <w:lang w:eastAsia="de-DE"/>
        </w:rPr>
        <w:tab/>
        <w:t>§ 263 des Strafgesetzbuchs (Betrug), soweit sich die Straftat gegen den Haushalt der Europäischen Union oder gegen Haushalte richtet, die von der Europäischen Union oder in ihrem Auftrag verwaltet werden,</w:t>
      </w:r>
    </w:p>
    <w:p w14:paraId="1DCB72E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5.</w:t>
      </w:r>
      <w:r w:rsidRPr="00111C47">
        <w:rPr>
          <w:rFonts w:eastAsia="Times New Roman"/>
          <w:sz w:val="20"/>
          <w:szCs w:val="20"/>
          <w:lang w:eastAsia="de-DE"/>
        </w:rPr>
        <w:tab/>
        <w:t>§ 264 des Strafgesetzbuchs (Subventionsbetrug), soweit sich die Straftat gegen den Haushalt der Europäischen Union oder gegen Haushalte richtet, die von der Europäischen Union oder in ihrem Auftrag verwaltet werden,</w:t>
      </w:r>
    </w:p>
    <w:p w14:paraId="210471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6.</w:t>
      </w:r>
      <w:r w:rsidRPr="00111C47">
        <w:rPr>
          <w:rFonts w:eastAsia="Times New Roman"/>
          <w:sz w:val="20"/>
          <w:szCs w:val="20"/>
          <w:lang w:eastAsia="de-DE"/>
        </w:rPr>
        <w:tab/>
        <w:t>§ 299 des Strafgesetzbuchs (Bestechlichkeit und Bestechung im geschäftlichen Verkehr),</w:t>
      </w:r>
    </w:p>
    <w:p w14:paraId="4279497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7.</w:t>
      </w:r>
      <w:r w:rsidRPr="00111C47">
        <w:rPr>
          <w:rFonts w:eastAsia="Times New Roman"/>
          <w:sz w:val="20"/>
          <w:szCs w:val="20"/>
          <w:lang w:eastAsia="de-DE"/>
        </w:rPr>
        <w:tab/>
        <w:t>§ 108e des Strafgesetzbuchs (Bestechlichkeit und Bestechung von Mandatsträgern),</w:t>
      </w:r>
    </w:p>
    <w:p w14:paraId="420524D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8.</w:t>
      </w:r>
      <w:r w:rsidRPr="00111C47">
        <w:rPr>
          <w:rFonts w:eastAsia="Times New Roman"/>
          <w:sz w:val="20"/>
          <w:szCs w:val="20"/>
          <w:lang w:eastAsia="de-DE"/>
        </w:rPr>
        <w:tab/>
        <w:t>den §§ 333 und 334 des Strafgesetzbuchs (Vorteilsgewährung und Bestechung), jeweils auch in Verbindung mit § 335a des Strafgesetzbuchs (Ausländische und internationale Bedienstete),</w:t>
      </w:r>
    </w:p>
    <w:p w14:paraId="5A6228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9.</w:t>
      </w:r>
      <w:r w:rsidRPr="00111C47">
        <w:rPr>
          <w:rFonts w:eastAsia="Times New Roman"/>
          <w:sz w:val="20"/>
          <w:szCs w:val="20"/>
          <w:lang w:eastAsia="de-DE"/>
        </w:rPr>
        <w:tab/>
        <w:t>Artikel 2 § 2 des Gesetzes zur Bekämpfung internationaler Bestechung (Bestechung ausländischer Abgeordneter im Zusammenhang mit internationalem Geschäftsverkehr) oder</w:t>
      </w:r>
    </w:p>
    <w:p w14:paraId="02BFBBB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10.</w:t>
      </w:r>
      <w:r w:rsidRPr="00111C47">
        <w:rPr>
          <w:rFonts w:eastAsia="Times New Roman"/>
          <w:sz w:val="20"/>
          <w:szCs w:val="20"/>
          <w:lang w:eastAsia="de-DE"/>
        </w:rPr>
        <w:tab/>
        <w:t>den §§ 232, 232a Absatz 1 bis 5, den §§ 232b bis 233a des Strafgesetzbuches (Menschenhandel, Zwangsprostitution, Zwangsarbeit, Ausbeutung der Arbeitskraft, Ausbeutung unter Ausnutzung einer Freiheitsberaubung).</w:t>
      </w:r>
    </w:p>
    <w:p w14:paraId="1090EB7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Einer Verurteilung oder der Festsetzung einer Geldbuße im Sinne des Absatzes 1 stehen eine Verurteilung oder die Festsetzung einer Geldbuße nach den vergleichbaren Vorschriften anderer Staaten gleich.</w:t>
      </w:r>
    </w:p>
    <w:p w14:paraId="22A51B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2F331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(4) Öffentliche Auftraggeber schließen ein Unternehmen zu jedem Zeitpunkt des Vergabeverfahrens von der Teilnahme an einem Vergabeverfahren aus, wenn </w:t>
      </w:r>
    </w:p>
    <w:p w14:paraId="34C6E69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4D884F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lastRenderedPageBreak/>
        <w:t>2.</w:t>
      </w:r>
      <w:r w:rsidRPr="00111C47">
        <w:rPr>
          <w:rFonts w:eastAsia="Times New Roman"/>
          <w:sz w:val="20"/>
          <w:szCs w:val="20"/>
          <w:lang w:eastAsia="de-DE"/>
        </w:rPr>
        <w:tab/>
        <w:t>die öffentlichen Auftraggeber auf sonstige geeignete Weise die Verletzung einer Verpflichtung nach Nummer 1 nachweisen können.</w:t>
      </w:r>
    </w:p>
    <w:p w14:paraId="0155066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5E40B3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890113C" w14:textId="77777777" w:rsidR="00F31EEF" w:rsidRPr="00C96B4D" w:rsidRDefault="00F31EEF" w:rsidP="00F31EEF">
      <w:pPr>
        <w:spacing w:line="312" w:lineRule="auto"/>
      </w:pPr>
      <w:r w:rsidRPr="00C96B4D">
        <w:br w:type="page"/>
      </w:r>
    </w:p>
    <w:p w14:paraId="19F1E338" w14:textId="77777777" w:rsidR="00F31EEF" w:rsidRPr="00C96B4D" w:rsidRDefault="00F31EEF" w:rsidP="00F31EEF">
      <w:pPr>
        <w:spacing w:before="120" w:after="120" w:line="312" w:lineRule="auto"/>
        <w:rPr>
          <w:b/>
        </w:rPr>
      </w:pPr>
      <w:r w:rsidRPr="00C96B4D">
        <w:rPr>
          <w:b/>
        </w:rPr>
        <w:lastRenderedPageBreak/>
        <w:t>Anhang 2</w:t>
      </w:r>
    </w:p>
    <w:p w14:paraId="6FA6AC9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124 GWB Fakultative Ausschlussgründe</w:t>
      </w:r>
    </w:p>
    <w:p w14:paraId="68370C9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22EBF06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das Unternehmen bei der Ausführung öffentlicher Aufträge nachweislich gegen geltende umwelt-, sozial- oder arbeitsrechtliche Verpflichtungen verstoßen hat,</w:t>
      </w:r>
    </w:p>
    <w:p w14:paraId="507356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3B9CD8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das Unternehmen im Rahmen der beruflichen Tätigkeit nachweislich eine schwere Verfehlung begangen hat, durch die die Integrität des Unternehmens infrage gestellt wird; § 123 Absatz 3 ist entsprechend anzuwenden,</w:t>
      </w:r>
    </w:p>
    <w:p w14:paraId="3A0E777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80A6F7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62200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0672E46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B086E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das Unternehmen in Bezug auf Ausschlussgründe oder Eignungskriterien eine schwerwiegende Täuschung begangen oder Auskünfte zurückgehalten hat oder nicht in der Lage ist, die erforderlichen Nachweise zu übermitteln, oder</w:t>
      </w:r>
    </w:p>
    <w:p w14:paraId="0F3322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 xml:space="preserve">das Unternehmen </w:t>
      </w:r>
    </w:p>
    <w:p w14:paraId="37B41523"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a) </w:t>
      </w:r>
      <w:r w:rsidRPr="00111C47">
        <w:rPr>
          <w:rFonts w:eastAsia="Times New Roman"/>
          <w:sz w:val="20"/>
          <w:szCs w:val="20"/>
          <w:lang w:eastAsia="de-DE"/>
        </w:rPr>
        <w:tab/>
        <w:t>versucht hat, die Entscheidungsfindung des öffentlichen Auftraggebers in unzulässiger Weise zu beeinflussen,</w:t>
      </w:r>
    </w:p>
    <w:p w14:paraId="129BA271"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b) </w:t>
      </w:r>
      <w:r w:rsidRPr="00111C47">
        <w:rPr>
          <w:rFonts w:eastAsia="Times New Roman"/>
          <w:sz w:val="20"/>
          <w:szCs w:val="20"/>
          <w:lang w:eastAsia="de-DE"/>
        </w:rPr>
        <w:tab/>
        <w:t>versucht hat, vertrauliche Informationen zu erhalten, durch die es unzulässige Vorteile beim Vergabeverfahren erlangen könnte, oder</w:t>
      </w:r>
    </w:p>
    <w:p w14:paraId="77B38630"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c) </w:t>
      </w:r>
      <w:r w:rsidRPr="00111C47">
        <w:rPr>
          <w:rFonts w:eastAsia="Times New Roman"/>
          <w:sz w:val="20"/>
          <w:szCs w:val="20"/>
          <w:lang w:eastAsia="de-DE"/>
        </w:rPr>
        <w:tab/>
        <w:t>fahrlässig oder vorsätzlich irreführende Informationen übermittelt hat, die die Vergabeentscheidung des öffentlichen Auftraggebers erheblich beeinflussen könnten, oder versucht hat, solche Informationen zu übermitteln.</w:t>
      </w:r>
    </w:p>
    <w:p w14:paraId="3D2FE80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 21 des Arbeitnehmer-Entsendegesetzes, § 98c des Aufenthaltsgesetzes, § 19 des Mindestlohngesetzes und § 21 des Schwarzarbeitsbekämpfungsgesetzes bleiben unberührt.</w:t>
      </w:r>
    </w:p>
    <w:p w14:paraId="71E559D6" w14:textId="77777777" w:rsidR="00F31EEF" w:rsidRPr="00C96B4D" w:rsidRDefault="00F31EEF" w:rsidP="00F31EEF">
      <w:pPr>
        <w:spacing w:line="312" w:lineRule="auto"/>
      </w:pPr>
      <w:r w:rsidRPr="00C96B4D">
        <w:br w:type="page"/>
      </w:r>
    </w:p>
    <w:p w14:paraId="06B46C45" w14:textId="77777777" w:rsidR="00F31EEF" w:rsidRPr="00C96B4D" w:rsidRDefault="00F31EEF" w:rsidP="00F31EEF">
      <w:pPr>
        <w:spacing w:line="312" w:lineRule="auto"/>
        <w:rPr>
          <w:b/>
        </w:rPr>
      </w:pPr>
      <w:r w:rsidRPr="00C96B4D">
        <w:rPr>
          <w:b/>
        </w:rPr>
        <w:lastRenderedPageBreak/>
        <w:t>Anhang 3</w:t>
      </w:r>
    </w:p>
    <w:p w14:paraId="52AA3A8E"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19 MiLoG Ausschluss von der Vergabe öffentlicher Aufträge</w:t>
      </w:r>
    </w:p>
    <w:p w14:paraId="679528D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04D608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37C13E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1A13382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E5D86A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die Bewerberin oder der Bewerber zu hören.</w:t>
      </w:r>
    </w:p>
    <w:p w14:paraId="1503C31C" w14:textId="77777777" w:rsidR="00F31EEF" w:rsidRPr="00C96B4D" w:rsidRDefault="00F31EEF" w:rsidP="00F31EEF">
      <w:pPr>
        <w:spacing w:line="312" w:lineRule="auto"/>
        <w:rPr>
          <w:rFonts w:eastAsia="Times New Roman"/>
          <w:lang w:eastAsia="de-DE"/>
        </w:rPr>
      </w:pPr>
      <w:r w:rsidRPr="00C96B4D">
        <w:rPr>
          <w:rFonts w:eastAsia="Times New Roman"/>
          <w:lang w:eastAsia="de-DE"/>
        </w:rPr>
        <w:br w:type="page"/>
      </w:r>
    </w:p>
    <w:p w14:paraId="4C60C830" w14:textId="77777777" w:rsidR="00F31EEF" w:rsidRPr="00111C47" w:rsidRDefault="00F31EEF" w:rsidP="00111C47">
      <w:pPr>
        <w:spacing w:before="600" w:after="240"/>
        <w:outlineLvl w:val="1"/>
        <w:rPr>
          <w:rFonts w:eastAsia="Times New Roman"/>
          <w:b/>
          <w:bCs/>
          <w:kern w:val="36"/>
          <w:sz w:val="20"/>
          <w:szCs w:val="20"/>
          <w:lang w:eastAsia="de-DE"/>
        </w:rPr>
      </w:pPr>
      <w:r w:rsidRPr="00111C47">
        <w:rPr>
          <w:rFonts w:eastAsia="Times New Roman"/>
          <w:b/>
          <w:bCs/>
          <w:kern w:val="36"/>
          <w:sz w:val="20"/>
          <w:szCs w:val="20"/>
          <w:lang w:eastAsia="de-DE"/>
        </w:rPr>
        <w:lastRenderedPageBreak/>
        <w:t>§ 21 MiLoG Bußgeldvorschriften</w:t>
      </w:r>
    </w:p>
    <w:p w14:paraId="37ECAA1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0D44EC6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15 Satz 1 in Verbindung mit § 5 Absatz 1 Satz 1 des Schwarzarbeitsbekämpfungsgesetzes eine Prüfung nicht duldet oder bei einer Prüfung nicht mitwirkt,</w:t>
      </w:r>
    </w:p>
    <w:p w14:paraId="282CDA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15 Satz 1 in Verbindung mit § 5 Absatz 1 Satz 2 des Schwarzarbeitsbekämpfungsgesetzes das Betreten eines Grundstücks oder Geschäftsraums nicht duldet,</w:t>
      </w:r>
    </w:p>
    <w:p w14:paraId="5BB6AB0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15 Satz 1 in Verbindung mit § 5 Absatz 3 Satz 1 des Schwarzarbeitsbekämpfungsgesetzes Daten nicht, nicht richtig, nicht vollständig, nicht in der vorgeschriebenen Weise oder nicht rechtzeitig übermittelt,</w:t>
      </w:r>
    </w:p>
    <w:p w14:paraId="09CCC248"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F45EC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16 Absatz 1 Satz 3, auch in Verbindung mit Absatz 3 Satz 2, eine Änderungsmeldung nicht, nicht richtig, nicht vollständig, nicht in der vorgeschriebenen Weise oder nicht rechtzeitig macht,</w:t>
      </w:r>
    </w:p>
    <w:p w14:paraId="0884E72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16 Absatz 2 oder 4 eine Versicherung nicht, nicht richtig oder nicht rechtzeitig beifügt,</w:t>
      </w:r>
    </w:p>
    <w:p w14:paraId="6DA5B5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17 Absatz 1 Satz 1, auch in Verbindung mit Satz 2, eine Aufzeichnung nicht, nicht richtig, nicht vollständig oder nicht rechtzeitig erstellt oder nicht oder nicht mindestens zwei Jahre aufbewahrt,</w:t>
      </w:r>
    </w:p>
    <w:p w14:paraId="093802F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entgegen § 17 Absatz 2 eine Unterlage nicht, nicht richtig, nicht vollständig oder nicht in der vorgeschriebenen Weise bereithält oder</w:t>
      </w:r>
    </w:p>
    <w:p w14:paraId="44D5C7D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20 das dort genannte Arbeitsentgelt nicht oder nicht rechtzeitig zahlt.</w:t>
      </w:r>
    </w:p>
    <w:p w14:paraId="58617433"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2DB3BF97"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20 das dort genannte Arbeitsentgelt nicht oder nicht rechtzeitig zahlt oder</w:t>
      </w:r>
    </w:p>
    <w:p w14:paraId="63C9C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20 das dort genannte Arbeitsentgelt nicht oder nicht rechtzeitig zahlt.</w:t>
      </w:r>
    </w:p>
    <w:p w14:paraId="5025C00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Nummer 9 und des Absatzes 2 mit einer Geldbuße bis zu fünfhunderttausend Euro, in den übrigen Fällen mit einer Geldbuße bis zu dreißigtausend Euro geahndet werden.</w:t>
      </w:r>
    </w:p>
    <w:p w14:paraId="5345068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Absatz 1 Nummer 1 des Gesetzes über Ordnungswidrigkeiten sind die in § 14 genannten Behörden jeweils für ihren Geschäftsbereich.</w:t>
      </w:r>
    </w:p>
    <w:p w14:paraId="1A17C95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1D943B8B" w14:textId="77777777" w:rsidR="00F31EEF" w:rsidRPr="00C96B4D" w:rsidRDefault="00F31EEF" w:rsidP="00F31EEF">
      <w:pPr>
        <w:spacing w:line="312" w:lineRule="auto"/>
      </w:pPr>
      <w:r w:rsidRPr="00C96B4D">
        <w:br w:type="page"/>
      </w:r>
    </w:p>
    <w:p w14:paraId="5ABCFFAA" w14:textId="77777777" w:rsidR="00F31EEF" w:rsidRPr="00C96B4D" w:rsidRDefault="00F31EEF" w:rsidP="00F31EEF">
      <w:pPr>
        <w:spacing w:line="312" w:lineRule="auto"/>
        <w:rPr>
          <w:b/>
        </w:rPr>
      </w:pPr>
      <w:r w:rsidRPr="00C96B4D">
        <w:rPr>
          <w:b/>
        </w:rPr>
        <w:lastRenderedPageBreak/>
        <w:t>Anhang 4</w:t>
      </w:r>
    </w:p>
    <w:p w14:paraId="1FA8F121"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AEntG Ausschluss von der Vergabe öffentlicher Aufträge</w:t>
      </w:r>
    </w:p>
    <w:p w14:paraId="2F3746B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769FED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079B5C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083FC6C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11B868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der Bewerber oder die Bewerberin zu hören.</w:t>
      </w:r>
    </w:p>
    <w:p w14:paraId="6A8AEBAC" w14:textId="48EA3AA2" w:rsidR="00F31EEF" w:rsidRDefault="00F31EEF" w:rsidP="00F31EEF"/>
    <w:p w14:paraId="6E8009A9" w14:textId="77777777" w:rsidR="00F31EEF" w:rsidRPr="00111C47" w:rsidRDefault="00F31EEF" w:rsidP="00111C47">
      <w:pPr>
        <w:spacing w:before="100" w:beforeAutospacing="1" w:after="100" w:afterAutospacing="1"/>
        <w:outlineLvl w:val="1"/>
        <w:rPr>
          <w:rFonts w:eastAsia="Times New Roman"/>
          <w:b/>
          <w:bCs/>
          <w:kern w:val="36"/>
          <w:sz w:val="20"/>
          <w:szCs w:val="20"/>
          <w:lang w:eastAsia="de-DE"/>
        </w:rPr>
      </w:pPr>
      <w:r w:rsidRPr="00111C47">
        <w:rPr>
          <w:rFonts w:eastAsia="Times New Roman"/>
          <w:b/>
          <w:bCs/>
          <w:kern w:val="36"/>
          <w:sz w:val="20"/>
          <w:szCs w:val="20"/>
          <w:lang w:eastAsia="de-DE"/>
        </w:rPr>
        <w:t>§ 23 AEntG Bußgeldvorschriften</w:t>
      </w:r>
    </w:p>
    <w:p w14:paraId="40FF92F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27B660F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w:t>
      </w:r>
    </w:p>
    <w:p w14:paraId="1AB24C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17 Satz 1 in Verbindung mit § 5 Abs. 1 Satz 1 des Schwarzarbeitsbekämpfungsgesetzes eine Prüfung nicht duldet oder bei einer Prüfung nicht mitwirkt,</w:t>
      </w:r>
    </w:p>
    <w:p w14:paraId="45223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17 Satz 1 in Verbindung mit § 5 Abs. 1 Satz 2 des Schwarzarbeitsbekämpfungsgesetzes das Betreten eines Grundstücks oder Geschäftsraums nicht duldet,</w:t>
      </w:r>
    </w:p>
    <w:p w14:paraId="4DE659E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17 Satz 1 in Verbindung mit § 5 Abs. 3 Satz 1 des Schwarzarbeitsbekämpfungsgesetzes Daten nicht, nicht richtig, nicht vollständig, nicht in der vorgeschriebenen Weise oder nicht rechtzeitig übermittelt,</w:t>
      </w:r>
    </w:p>
    <w:p w14:paraId="1914FC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552DF39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18 Abs. 1 Satz 3, auch in Verbindung mit Absatz 3 Satz 2, eine Änderungsmeldung nicht, nicht richtig, nicht vollständig, nicht in der vorgeschriebenen Weise oder nicht rechtzeitig macht,</w:t>
      </w:r>
    </w:p>
    <w:p w14:paraId="5EE73FB9"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18 Abs. 2 oder 4 eine Versicherung nicht, nicht richtig oder nicht rechtzeitig beifügt,</w:t>
      </w:r>
    </w:p>
    <w:p w14:paraId="688481C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 xml:space="preserve">entgegen § 19 Absatz 1 Satz 1, auch in Verbindung mit Satz 2, eine Aufzeichnung nicht, nicht richtig, </w:t>
      </w:r>
      <w:r w:rsidRPr="00111C47">
        <w:rPr>
          <w:rFonts w:eastAsia="Times New Roman"/>
          <w:sz w:val="20"/>
          <w:szCs w:val="20"/>
          <w:lang w:eastAsia="de-DE"/>
        </w:rPr>
        <w:lastRenderedPageBreak/>
        <w:t>nicht vollständig oder nicht rechtzeitig erstellt oder nicht oder nicht mindestens zwei Jahre aufbewahrt oder</w:t>
      </w:r>
    </w:p>
    <w:p w14:paraId="3E74C7B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19 Abs. 2 eine Unterlage nicht, nicht richtig, nicht vollständig oder nicht in der vorgeschriebenen Weise bereithält.</w:t>
      </w:r>
    </w:p>
    <w:p w14:paraId="211F092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3EAE19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 oder</w:t>
      </w:r>
    </w:p>
    <w:p w14:paraId="381B976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8 Abs. 1 Satz 1 oder Abs. 3 eine dort genannte Arbeitsbedingung nicht oder nicht rechtzeitig gewährt oder einen Beitrag nicht oder nicht rechtzeitig leistet.</w:t>
      </w:r>
    </w:p>
    <w:p w14:paraId="158D16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Nr. 1 und des Absatzes 2 mit einer Geldbuße bis zu fünfhunderttausend Euro, in den übrigen Fällen mit einer Geldbuße bis zu dreißigtausend Euro geahndet werden.</w:t>
      </w:r>
    </w:p>
    <w:p w14:paraId="60A227A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 1 Nr. 1 des Gesetzes über Ordnungswidrigkeiten sind die in § 16 genannten Behörden jeweils für ihren Geschäftsbereich.</w:t>
      </w:r>
    </w:p>
    <w:p w14:paraId="47D89D5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5C18103B" w14:textId="77777777" w:rsidR="00F31EEF" w:rsidRPr="00C96B4D" w:rsidRDefault="00F31EEF" w:rsidP="00F31EEF">
      <w:pPr>
        <w:spacing w:line="312" w:lineRule="auto"/>
      </w:pPr>
      <w:r w:rsidRPr="00C96B4D">
        <w:br w:type="page"/>
      </w:r>
    </w:p>
    <w:p w14:paraId="22337F2D" w14:textId="77777777" w:rsidR="00F31EEF" w:rsidRPr="00C96B4D" w:rsidRDefault="00F31EEF" w:rsidP="00F31EEF">
      <w:pPr>
        <w:spacing w:line="312" w:lineRule="auto"/>
        <w:rPr>
          <w:b/>
        </w:rPr>
      </w:pPr>
      <w:r w:rsidRPr="00C96B4D">
        <w:rPr>
          <w:b/>
        </w:rPr>
        <w:lastRenderedPageBreak/>
        <w:t>Anhang 5</w:t>
      </w:r>
    </w:p>
    <w:p w14:paraId="2CA2AFB9"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98c AufenthG Ausschluss von der Vergabe öffentlicher Aufträge</w:t>
      </w:r>
    </w:p>
    <w:p w14:paraId="783C25E5"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3686AC4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nach § 404 Absatz 2 Nummer 3 des Dritten Buches Sozialgesetzbuch mit einer Geldbuße von wenigstens Zweitausendfünfhundert Euro rechtskräftig belegt worden ist oder</w:t>
      </w:r>
    </w:p>
    <w:p w14:paraId="678C748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nach den §§ 10, 10a oder 11 des Schwarzarbeitsbekämpfungsgesetzes zu einer Freiheitsstrafe von mehr als drei Monaten oder einer Geldstrafe von mehr als 90 Tagessätzen rechtskräftig verurteilt worden ist.</w:t>
      </w:r>
    </w:p>
    <w:p w14:paraId="125EB96F"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6FC83C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Absatz 1 gilt nicht, wenn der Verstoß nach Absatz 1 Satz 1 darin bestand, dass ein Unionsbürger rechtswidrig beschäftigt wurde.</w:t>
      </w:r>
    </w:p>
    <w:p w14:paraId="3057784D"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Macht ein öffentlicher Auftraggeber von der Möglichkeit nach Absatz 1 Gebrauch, gilt § 21 Absatz 2 bis 5 des Arbeitnehmer-Entsendegesetzes entsprechend.</w:t>
      </w:r>
    </w:p>
    <w:p w14:paraId="26AEFF1C" w14:textId="77777777" w:rsidR="00F31EEF" w:rsidRPr="00C96B4D" w:rsidRDefault="00F31EEF" w:rsidP="00F31EEF">
      <w:pPr>
        <w:spacing w:line="312" w:lineRule="auto"/>
      </w:pPr>
      <w:r w:rsidRPr="00C96B4D">
        <w:br w:type="page"/>
      </w:r>
    </w:p>
    <w:p w14:paraId="227DA68C" w14:textId="77777777" w:rsidR="00F31EEF" w:rsidRPr="00C96B4D" w:rsidRDefault="00F31EEF" w:rsidP="00F31EEF">
      <w:pPr>
        <w:spacing w:line="312" w:lineRule="auto"/>
        <w:rPr>
          <w:b/>
        </w:rPr>
      </w:pPr>
      <w:r w:rsidRPr="00C96B4D">
        <w:rPr>
          <w:b/>
        </w:rPr>
        <w:lastRenderedPageBreak/>
        <w:t>Anhang 6</w:t>
      </w:r>
    </w:p>
    <w:p w14:paraId="496B066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w:t>
      </w:r>
      <w:proofErr w:type="spellStart"/>
      <w:r w:rsidRPr="00111C47">
        <w:rPr>
          <w:rFonts w:eastAsia="Times New Roman"/>
          <w:b/>
          <w:bCs/>
          <w:kern w:val="36"/>
          <w:sz w:val="20"/>
          <w:szCs w:val="20"/>
          <w:lang w:eastAsia="de-DE"/>
        </w:rPr>
        <w:t>SchwarzArbG</w:t>
      </w:r>
      <w:proofErr w:type="spellEnd"/>
      <w:r w:rsidRPr="00111C47">
        <w:rPr>
          <w:rFonts w:eastAsia="Times New Roman"/>
          <w:b/>
          <w:bCs/>
          <w:kern w:val="36"/>
          <w:sz w:val="20"/>
          <w:szCs w:val="20"/>
          <w:lang w:eastAsia="de-DE"/>
        </w:rPr>
        <w:t xml:space="preserve"> Ausschluss von öffentlichen Aufträgen</w:t>
      </w:r>
    </w:p>
    <w:p w14:paraId="29E06F96"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22597C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 8 Abs. 1 Nr. 2, §§ 10 bis 11,</w:t>
      </w:r>
    </w:p>
    <w:p w14:paraId="173B547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 404 Abs. 1 oder 2 Nr. 3 des Dritten Buches Sozialgesetzbuch,</w:t>
      </w:r>
    </w:p>
    <w:p w14:paraId="5A23A65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 15, 15a, 16 Abs. 1 Nr. 1, 1c, 1d, 1f oder 2 des Arbeitnehmerüberlassungsgesetzes oder</w:t>
      </w:r>
    </w:p>
    <w:p w14:paraId="24B1BE1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 266a Abs. 1 bis 4 des Strafgesetzbuches</w:t>
      </w:r>
    </w:p>
    <w:p w14:paraId="51D62157"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1EC9EE2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 Verfehlung nach Absatz 1 steht einer Verletzung von Pflichten nach § 241 Abs. 2 des Bürgerlichen Gesetzbuchs gleich.</w:t>
      </w:r>
    </w:p>
    <w:p w14:paraId="43C24F6B" w14:textId="77777777" w:rsidR="00F31EEF" w:rsidRDefault="00F31EEF" w:rsidP="00F31EEF">
      <w:r>
        <w:br w:type="page"/>
      </w:r>
    </w:p>
    <w:p w14:paraId="29F1075B" w14:textId="77777777" w:rsidR="00111C47" w:rsidRDefault="00111C47" w:rsidP="00F31EEF">
      <w:pPr>
        <w:spacing w:before="120" w:after="120" w:line="312" w:lineRule="auto"/>
        <w:jc w:val="both"/>
        <w:rPr>
          <w:b/>
        </w:rPr>
      </w:pPr>
    </w:p>
    <w:p w14:paraId="106DA260" w14:textId="497F0BB5" w:rsidR="00F31EEF" w:rsidRDefault="00F31EEF" w:rsidP="00F31EEF">
      <w:pPr>
        <w:spacing w:before="120" w:after="120" w:line="312" w:lineRule="auto"/>
        <w:jc w:val="both"/>
        <w:rPr>
          <w:b/>
        </w:rPr>
      </w:pPr>
      <w:r>
        <w:rPr>
          <w:b/>
        </w:rPr>
        <w:t>Anhang 7</w:t>
      </w:r>
    </w:p>
    <w:p w14:paraId="58FB02EF" w14:textId="77777777" w:rsidR="00F31EEF" w:rsidRPr="00111C47" w:rsidRDefault="00F31EEF" w:rsidP="00111C47">
      <w:pPr>
        <w:spacing w:before="120" w:after="120"/>
        <w:jc w:val="both"/>
        <w:rPr>
          <w:b/>
          <w:sz w:val="20"/>
          <w:szCs w:val="20"/>
        </w:rPr>
      </w:pPr>
      <w:r w:rsidRPr="00111C47">
        <w:rPr>
          <w:b/>
          <w:sz w:val="20"/>
          <w:szCs w:val="20"/>
        </w:rPr>
        <w:t xml:space="preserve">Gesetz über die unternehmerischen Sorgfaltspflichten zur Vermeidung von Menschenrechtsverletzungen in Lieferketten (Lieferkettensorgfaltspflichtengesetz - </w:t>
      </w:r>
      <w:proofErr w:type="spellStart"/>
      <w:r w:rsidRPr="00111C47">
        <w:rPr>
          <w:b/>
          <w:sz w:val="20"/>
          <w:szCs w:val="20"/>
        </w:rPr>
        <w:t>LkSG</w:t>
      </w:r>
      <w:proofErr w:type="spellEnd"/>
      <w:r w:rsidRPr="00111C47">
        <w:rPr>
          <w:b/>
          <w:sz w:val="20"/>
          <w:szCs w:val="20"/>
        </w:rPr>
        <w:t>)</w:t>
      </w:r>
      <w:r w:rsidRPr="00111C47">
        <w:rPr>
          <w:b/>
          <w:sz w:val="20"/>
          <w:szCs w:val="20"/>
        </w:rPr>
        <w:br/>
        <w:t>§ 22 Ausschluss von der Vergabe öffentlicher Aufträge</w:t>
      </w:r>
    </w:p>
    <w:p w14:paraId="30AC5E4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FAA4A6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 Ein Ausschluss nach Absatz 1 setzt einen rechtskräftig festgestellten Verstoß mit einer Geldbuße von wenigstens einhundertfünfundsiebzigtausend Euro voraus. Abweichend von Satz 1 wird</w:t>
      </w:r>
    </w:p>
    <w:p w14:paraId="22F5EFA5"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in den Fällen des § 24 Absatz 2 Satz 2 in Verbindung mit § 24 Absatz 2 Satz 1 Nummer 2 ein rechtskräftig festgestellter Verstoß mit einer Geldbuße von wenigstens eine Million fünfhunderttausend Euro,</w:t>
      </w:r>
    </w:p>
    <w:p w14:paraId="4FF761A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2.in den Fällen des § 24 Absatz 2 Satz 2 in Verbindung mit § 24 Absatz 2 Satz 1 Nummer 1 ein rechtskräftig festgestellter Verstoß mit einer Geldbuße von wenigstens zwei Millionen Euro und</w:t>
      </w:r>
    </w:p>
    <w:p w14:paraId="606B611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in den Fällen des § 24 Absatz 3 ein rechtskräftig festgestellter Verstoß mit einer Geldbuße von wenigstens 0,35 Prozent des durchschnittlichen Jahresumsatzes vorausgesetzt.</w:t>
      </w:r>
    </w:p>
    <w:p w14:paraId="1279C758"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Vor der Entscheidung über den Ausschluss ist der Bewerber zu hören.</w:t>
      </w:r>
    </w:p>
    <w:p w14:paraId="64E12FB7" w14:textId="77777777" w:rsidR="00F31EEF" w:rsidRPr="008D4BA8" w:rsidRDefault="00F31EEF" w:rsidP="00F31EEF">
      <w:pPr>
        <w:spacing w:before="120" w:after="120" w:line="312" w:lineRule="auto"/>
        <w:rPr>
          <w:rFonts w:eastAsia="Times New Roman"/>
          <w:lang w:eastAsia="de-DE"/>
        </w:rPr>
      </w:pPr>
    </w:p>
    <w:p w14:paraId="2DF07AE4" w14:textId="77777777" w:rsidR="00F31EEF" w:rsidRPr="00C96B4D" w:rsidRDefault="00F31EEF" w:rsidP="00F31EEF">
      <w:pPr>
        <w:spacing w:before="120" w:after="120" w:line="312" w:lineRule="auto"/>
        <w:jc w:val="both"/>
      </w:pPr>
    </w:p>
    <w:p w14:paraId="5CC2BA04" w14:textId="2098F5A0" w:rsidR="008A038B" w:rsidRPr="006427EF" w:rsidRDefault="008A038B" w:rsidP="00F31EEF">
      <w:pPr>
        <w:pStyle w:val="berschrift1"/>
        <w:spacing w:before="93"/>
      </w:pPr>
    </w:p>
    <w:sectPr w:rsidR="008A038B" w:rsidRPr="006427EF">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1F934" w14:textId="77777777" w:rsidR="00E50825" w:rsidRDefault="00E50825">
      <w:r>
        <w:separator/>
      </w:r>
    </w:p>
  </w:endnote>
  <w:endnote w:type="continuationSeparator" w:id="0">
    <w:p w14:paraId="2A73A20F" w14:textId="77777777" w:rsidR="00E50825" w:rsidRDefault="00E5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C833" w14:textId="77777777" w:rsidR="00E50825" w:rsidRDefault="00E50825">
      <w:r>
        <w:separator/>
      </w:r>
    </w:p>
  </w:footnote>
  <w:footnote w:type="continuationSeparator" w:id="0">
    <w:p w14:paraId="6175173E" w14:textId="77777777" w:rsidR="00E50825" w:rsidRDefault="00E5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60F043BD" w:rsidR="00F31EEF" w:rsidRPr="00E454F9" w:rsidRDefault="00F31EEF" w:rsidP="00F31EEF">
          <w:pPr>
            <w:tabs>
              <w:tab w:val="right" w:pos="9072"/>
            </w:tabs>
            <w:jc w:val="right"/>
            <w:rPr>
              <w:sz w:val="16"/>
              <w:lang w:eastAsia="de-DE"/>
            </w:rPr>
          </w:pPr>
          <w:r w:rsidRPr="00E454F9">
            <w:rPr>
              <w:sz w:val="16"/>
              <w:lang w:eastAsia="de-DE"/>
            </w:rPr>
            <w:t>"</w:t>
          </w:r>
          <w:r w:rsidR="00EC49E6" w:rsidRPr="00F41A2C">
            <w:rPr>
              <w:sz w:val="16"/>
              <w:lang w:eastAsia="de-DE"/>
            </w:rPr>
            <w:t xml:space="preserve"> </w:t>
          </w:r>
          <w:r w:rsidR="00EC49E6" w:rsidRPr="00F41A2C">
            <w:rPr>
              <w:sz w:val="16"/>
              <w:lang w:eastAsia="de-DE"/>
            </w:rPr>
            <w:t>Testanrufe (Hidden Clients) in der Patientenberatung</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385FCB2D" w:rsidR="00111C47" w:rsidRPr="00E454F9" w:rsidRDefault="00111C47" w:rsidP="00111C47">
          <w:pPr>
            <w:tabs>
              <w:tab w:val="right" w:pos="9072"/>
            </w:tabs>
            <w:jc w:val="right"/>
            <w:rPr>
              <w:sz w:val="16"/>
              <w:lang w:eastAsia="de-DE"/>
            </w:rPr>
          </w:pPr>
          <w:r w:rsidRPr="00E454F9">
            <w:rPr>
              <w:sz w:val="16"/>
              <w:lang w:eastAsia="de-DE"/>
            </w:rPr>
            <w:t>"</w:t>
          </w:r>
          <w:r w:rsidR="00EC49E6" w:rsidRPr="00F41A2C">
            <w:rPr>
              <w:sz w:val="16"/>
              <w:lang w:eastAsia="de-DE"/>
            </w:rPr>
            <w:t xml:space="preserve"> </w:t>
          </w:r>
          <w:r w:rsidR="00EC49E6" w:rsidRPr="00F41A2C">
            <w:rPr>
              <w:sz w:val="16"/>
              <w:lang w:eastAsia="de-DE"/>
            </w:rPr>
            <w:t>Testanrufe (Hidden Clients) in der Patientenberatung</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3"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4"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5"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6"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7"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8"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9"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0"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1"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2"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3"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4"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5"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6"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7"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3"/>
  </w:num>
  <w:num w:numId="2" w16cid:durableId="1343125549">
    <w:abstractNumId w:val="6"/>
  </w:num>
  <w:num w:numId="3" w16cid:durableId="616261188">
    <w:abstractNumId w:val="17"/>
  </w:num>
  <w:num w:numId="4" w16cid:durableId="1493445902">
    <w:abstractNumId w:val="8"/>
  </w:num>
  <w:num w:numId="5" w16cid:durableId="422457221">
    <w:abstractNumId w:val="0"/>
  </w:num>
  <w:num w:numId="6" w16cid:durableId="531261137">
    <w:abstractNumId w:val="12"/>
  </w:num>
  <w:num w:numId="7" w16cid:durableId="1201358443">
    <w:abstractNumId w:val="1"/>
  </w:num>
  <w:num w:numId="8" w16cid:durableId="453135396">
    <w:abstractNumId w:val="13"/>
  </w:num>
  <w:num w:numId="9" w16cid:durableId="758448397">
    <w:abstractNumId w:val="5"/>
  </w:num>
  <w:num w:numId="10" w16cid:durableId="984238293">
    <w:abstractNumId w:val="9"/>
  </w:num>
  <w:num w:numId="11" w16cid:durableId="1512525470">
    <w:abstractNumId w:val="14"/>
  </w:num>
  <w:num w:numId="12" w16cid:durableId="80177833">
    <w:abstractNumId w:val="16"/>
  </w:num>
  <w:num w:numId="13" w16cid:durableId="1522818217">
    <w:abstractNumId w:val="7"/>
  </w:num>
  <w:num w:numId="14" w16cid:durableId="649601083">
    <w:abstractNumId w:val="4"/>
  </w:num>
  <w:num w:numId="15" w16cid:durableId="1281495253">
    <w:abstractNumId w:val="10"/>
  </w:num>
  <w:num w:numId="16" w16cid:durableId="1414549876">
    <w:abstractNumId w:val="11"/>
  </w:num>
  <w:num w:numId="17" w16cid:durableId="341974294">
    <w:abstractNumId w:val="15"/>
  </w:num>
  <w:num w:numId="18" w16cid:durableId="8002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60753"/>
    <w:rsid w:val="000A4C35"/>
    <w:rsid w:val="000C4051"/>
    <w:rsid w:val="00111C47"/>
    <w:rsid w:val="00123969"/>
    <w:rsid w:val="001344ED"/>
    <w:rsid w:val="003804CD"/>
    <w:rsid w:val="003B1EDB"/>
    <w:rsid w:val="003D01E7"/>
    <w:rsid w:val="00420353"/>
    <w:rsid w:val="004D5563"/>
    <w:rsid w:val="00534FE1"/>
    <w:rsid w:val="005447FF"/>
    <w:rsid w:val="005A6185"/>
    <w:rsid w:val="005B0D1B"/>
    <w:rsid w:val="005D7DE9"/>
    <w:rsid w:val="006427EF"/>
    <w:rsid w:val="00767E13"/>
    <w:rsid w:val="007815E0"/>
    <w:rsid w:val="008348D7"/>
    <w:rsid w:val="008A038B"/>
    <w:rsid w:val="008E5163"/>
    <w:rsid w:val="009B6C9D"/>
    <w:rsid w:val="00A30A0B"/>
    <w:rsid w:val="00A412D4"/>
    <w:rsid w:val="00A81CA7"/>
    <w:rsid w:val="00A940F9"/>
    <w:rsid w:val="00B33AD3"/>
    <w:rsid w:val="00B47A9B"/>
    <w:rsid w:val="00B71FDF"/>
    <w:rsid w:val="00BF060D"/>
    <w:rsid w:val="00C66926"/>
    <w:rsid w:val="00C76C75"/>
    <w:rsid w:val="00CD40FE"/>
    <w:rsid w:val="00CF3470"/>
    <w:rsid w:val="00E50825"/>
    <w:rsid w:val="00E70B46"/>
    <w:rsid w:val="00EC49E6"/>
    <w:rsid w:val="00F31EEF"/>
    <w:rsid w:val="00F42119"/>
    <w:rsid w:val="00F56622"/>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DMS_Live!13255636.1</documentid>
  <senderid>SRECHTEN</senderid>
  <senderemail>STEPHAN.RECHTEN@ADVANT-BEITEN.COM</senderemail>
  <lastmodified>2025-03-06T16:21:00.0000000+01:00</lastmodified>
  <database>DMS_Live</database>
</properties>
</file>

<file path=customXml/itemProps1.xml><?xml version="1.0" encoding="utf-8"?>
<ds:datastoreItem xmlns:ds="http://schemas.openxmlformats.org/officeDocument/2006/customXml" ds:itemID="{18B5465B-0E0D-41F0-8846-3C929232834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3410</Words>
  <Characters>21486</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Frauke Krings</cp:lastModifiedBy>
  <cp:revision>9</cp:revision>
  <dcterms:created xsi:type="dcterms:W3CDTF">2025-03-06T15:21:00Z</dcterms:created>
  <dcterms:modified xsi:type="dcterms:W3CDTF">2026-08-10T08:54:00Z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ies>
</file>